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廊坊市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中共大厂回族自治县委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lang w:val="en-US" w:eastAsia="zh-CN"/>
        </w:rPr>
        <w:t>政法委员会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2016年度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spacing w:line="584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</w:rPr>
        <w:t>廊坊市中共大厂回族自治县委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政法委员会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</w:rPr>
        <w:t>廊坊市中共大厂回族自治县委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政法委员会</w:t>
      </w:r>
      <w:r>
        <w:rPr>
          <w:rFonts w:hint="eastAsia" w:ascii="黑体" w:hAnsi="黑体" w:eastAsia="黑体" w:cs="黑体"/>
          <w:sz w:val="32"/>
          <w:szCs w:val="32"/>
        </w:rPr>
        <w:t>2016年度部门决算报表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b/>
          <w:sz w:val="32"/>
          <w:szCs w:val="32"/>
        </w:rPr>
        <w:t>廊坊市中共大厂回族自治县委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政法委员会</w:t>
      </w:r>
      <w:r>
        <w:rPr>
          <w:rFonts w:hint="eastAsia" w:ascii="黑体" w:hAnsi="黑体" w:eastAsia="黑体" w:cs="黑体"/>
          <w:sz w:val="32"/>
          <w:szCs w:val="32"/>
        </w:rPr>
        <w:t>2016年度部门决算情况说明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“三公”经费情况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及增减变化原因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机关运行经费的支出情况的说明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</w:p>
    <w:p>
      <w:pPr>
        <w:ind w:firstLine="160" w:firstLineChar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四、名词解释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EFF" w:usb1="C000605B" w:usb2="00000029" w:usb3="00000000" w:csb0="200101FF" w:csb1="2028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BEF"/>
    <w:rsid w:val="00464BEF"/>
    <w:rsid w:val="00E64ED7"/>
    <w:rsid w:val="0CA865E2"/>
    <w:rsid w:val="0E8D5294"/>
    <w:rsid w:val="4A2E0351"/>
    <w:rsid w:val="4F372701"/>
    <w:rsid w:val="5B34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376</Characters>
  <Lines>3</Lines>
  <Paragraphs>1</Paragraphs>
  <ScaleCrop>false</ScaleCrop>
  <LinksUpToDate>false</LinksUpToDate>
  <CharactersWithSpaces>440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2017-10-27T08:27:00Z</dcterms:created>
  <dc:creator>naihong</dc:creator>
  <cp:lastModifiedBy>lenovo</cp:lastModifiedBy>
  <dcterms:modified xsi:type="dcterms:W3CDTF">2017-11-01T08:03:18Z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